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Microsoft YaHei UI" w:hAnsi="Microsoft YaHei UI" w:eastAsia="Microsoft YaHei UI" w:cs="Microsoft YaHei UI"/>
          <w:i w:val="0"/>
          <w:caps w:val="0"/>
          <w:color w:val="333333"/>
          <w:spacing w:val="8"/>
          <w:sz w:val="30"/>
          <w:szCs w:val="30"/>
          <w:shd w:val="clear" w:fill="FFFFFF"/>
        </w:rPr>
      </w:pPr>
      <w:r>
        <w:rPr>
          <w:rFonts w:hint="eastAsia" w:ascii="Microsoft YaHei UI" w:hAnsi="Microsoft YaHei UI" w:eastAsia="Microsoft YaHei UI" w:cs="Microsoft YaHei UI"/>
          <w:i w:val="0"/>
          <w:caps w:val="0"/>
          <w:color w:val="333333"/>
          <w:spacing w:val="8"/>
          <w:sz w:val="30"/>
          <w:szCs w:val="30"/>
          <w:shd w:val="clear" w:fill="FFFFFF"/>
        </w:rPr>
        <w:t xml:space="preserve">招标公告 | </w:t>
      </w:r>
      <w:r>
        <w:rPr>
          <w:rFonts w:hint="eastAsia" w:ascii="Microsoft YaHei UI" w:hAnsi="Microsoft YaHei UI" w:eastAsia="Microsoft YaHei UI" w:cs="Microsoft YaHei UI"/>
          <w:i w:val="0"/>
          <w:caps w:val="0"/>
          <w:color w:val="333333"/>
          <w:spacing w:val="8"/>
          <w:sz w:val="30"/>
          <w:szCs w:val="30"/>
          <w:shd w:val="clear" w:fill="FFFFFF"/>
          <w:lang w:val="en-US" w:eastAsia="zh-CN"/>
        </w:rPr>
        <w:t>芜湖造船厂3T、5T电动叉车招标项目</w:t>
      </w:r>
    </w:p>
    <w:p>
      <w:pPr>
        <w:rPr>
          <w:rFonts w:hint="eastAsia" w:ascii="Microsoft YaHei UI" w:hAnsi="Microsoft YaHei UI" w:eastAsia="Microsoft YaHei UI" w:cs="Microsoft YaHei UI"/>
          <w:i w:val="0"/>
          <w:caps w:val="0"/>
          <w:color w:val="333333"/>
          <w:spacing w:val="8"/>
          <w:sz w:val="30"/>
          <w:szCs w:val="30"/>
          <w:shd w:val="clear" w:fill="FFFFFF"/>
          <w:lang w:eastAsia="zh-CN"/>
        </w:rPr>
      </w:pPr>
      <w:r>
        <w:rPr>
          <w:rFonts w:hint="eastAsia" w:ascii="Microsoft YaHei UI" w:hAnsi="Microsoft YaHei UI" w:eastAsia="Microsoft YaHei UI" w:cs="Microsoft YaHei UI"/>
          <w:i w:val="0"/>
          <w:caps w:val="0"/>
          <w:color w:val="333333"/>
          <w:spacing w:val="8"/>
          <w:sz w:val="30"/>
          <w:szCs w:val="30"/>
          <w:shd w:val="clear" w:fill="FFFFFF"/>
          <w:lang w:eastAsia="zh-CN"/>
        </w:rPr>
        <w:drawing>
          <wp:inline distT="0" distB="0" distL="114300" distR="114300">
            <wp:extent cx="5266690" cy="1932305"/>
            <wp:effectExtent l="0" t="0" r="10160" b="10795"/>
            <wp:docPr id="1" name="图片 1" descr="微信图片_2020010820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108203900"/>
                    <pic:cNvPicPr>
                      <a:picLocks noChangeAspect="1"/>
                    </pic:cNvPicPr>
                  </pic:nvPicPr>
                  <pic:blipFill>
                    <a:blip r:embed="rId4"/>
                    <a:stretch>
                      <a:fillRect/>
                    </a:stretch>
                  </pic:blipFill>
                  <pic:spPr>
                    <a:xfrm>
                      <a:off x="0" y="0"/>
                      <a:ext cx="5266690" cy="1932305"/>
                    </a:xfrm>
                    <a:prstGeom prst="rect">
                      <a:avLst/>
                    </a:prstGeom>
                  </pic:spPr>
                </pic:pic>
              </a:graphicData>
            </a:graphic>
          </wp:inline>
        </w:drawing>
      </w:r>
    </w:p>
    <w:p>
      <w:pPr>
        <w:rPr>
          <w:rFonts w:hint="eastAsia" w:asciiTheme="minorHAnsi" w:hAnsiTheme="minorHAnsi" w:eastAsiaTheme="minorEastAsia" w:cstheme="minorBidi"/>
          <w:b/>
          <w:bCs/>
          <w:color w:val="000000"/>
          <w:kern w:val="2"/>
          <w:sz w:val="28"/>
          <w:szCs w:val="28"/>
          <w:lang w:val="en-US" w:eastAsia="zh-CN" w:bidi="ar-SA"/>
        </w:rPr>
      </w:pPr>
      <w:r>
        <w:rPr>
          <w:rFonts w:hint="eastAsia" w:asciiTheme="minorHAnsi" w:hAnsiTheme="minorHAnsi" w:eastAsiaTheme="minorEastAsia" w:cstheme="minorBidi"/>
          <w:b/>
          <w:bCs/>
          <w:color w:val="000000"/>
          <w:kern w:val="2"/>
          <w:sz w:val="28"/>
          <w:szCs w:val="28"/>
          <w:lang w:val="en-US" w:eastAsia="zh-CN" w:bidi="ar-SA"/>
        </w:rPr>
        <w:t>一、项目名称</w:t>
      </w:r>
    </w:p>
    <w:p>
      <w:pPr>
        <w:widowControl/>
        <w:jc w:val="left"/>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芜湖造船厂3T、5T电动叉车招标项目</w:t>
      </w:r>
    </w:p>
    <w:p>
      <w:pPr>
        <w:rPr>
          <w:rFonts w:hint="eastAsia" w:asciiTheme="minorHAnsi" w:hAnsiTheme="minorHAnsi" w:eastAsiaTheme="minorEastAsia" w:cstheme="minorBidi"/>
          <w:b/>
          <w:bCs/>
          <w:color w:val="000000"/>
          <w:kern w:val="2"/>
          <w:sz w:val="28"/>
          <w:szCs w:val="28"/>
          <w:lang w:val="en-US" w:eastAsia="zh-CN" w:bidi="ar-SA"/>
        </w:rPr>
      </w:pPr>
      <w:r>
        <w:rPr>
          <w:rFonts w:hint="eastAsia" w:cstheme="minorBidi"/>
          <w:b/>
          <w:bCs/>
          <w:color w:val="000000"/>
          <w:kern w:val="2"/>
          <w:sz w:val="28"/>
          <w:szCs w:val="28"/>
          <w:lang w:val="en-US" w:eastAsia="zh-CN" w:bidi="ar-SA"/>
        </w:rPr>
        <w:t>二、</w:t>
      </w:r>
      <w:r>
        <w:rPr>
          <w:rFonts w:hint="eastAsia" w:asciiTheme="minorHAnsi" w:hAnsiTheme="minorHAnsi" w:eastAsiaTheme="minorEastAsia" w:cstheme="minorBidi"/>
          <w:b/>
          <w:bCs/>
          <w:color w:val="000000"/>
          <w:kern w:val="2"/>
          <w:sz w:val="28"/>
          <w:szCs w:val="28"/>
          <w:lang w:val="en-US" w:eastAsia="zh-CN" w:bidi="ar-SA"/>
        </w:rPr>
        <w:t>项目内容</w:t>
      </w:r>
    </w:p>
    <w:tbl>
      <w:tblPr>
        <w:tblStyle w:val="5"/>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72"/>
        <w:gridCol w:w="1634"/>
        <w:gridCol w:w="1495"/>
        <w:gridCol w:w="223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13"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序号</w:t>
            </w:r>
          </w:p>
        </w:tc>
        <w:tc>
          <w:tcPr>
            <w:tcW w:w="2172"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设备名称</w:t>
            </w:r>
          </w:p>
        </w:tc>
        <w:tc>
          <w:tcPr>
            <w:tcW w:w="1634"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额定载荷/T</w:t>
            </w:r>
          </w:p>
        </w:tc>
        <w:tc>
          <w:tcPr>
            <w:tcW w:w="149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需求数量/台</w:t>
            </w:r>
          </w:p>
        </w:tc>
        <w:tc>
          <w:tcPr>
            <w:tcW w:w="223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使用地点</w:t>
            </w:r>
          </w:p>
        </w:tc>
        <w:tc>
          <w:tcPr>
            <w:tcW w:w="1396"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13"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w:t>
            </w:r>
          </w:p>
        </w:tc>
        <w:tc>
          <w:tcPr>
            <w:tcW w:w="2172"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平衡重式锂电池叉车</w:t>
            </w:r>
          </w:p>
        </w:tc>
        <w:tc>
          <w:tcPr>
            <w:tcW w:w="1634"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w:t>
            </w:r>
          </w:p>
        </w:tc>
        <w:tc>
          <w:tcPr>
            <w:tcW w:w="149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w:t>
            </w:r>
          </w:p>
        </w:tc>
        <w:tc>
          <w:tcPr>
            <w:tcW w:w="223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芜湖造船厂有限公司</w:t>
            </w:r>
          </w:p>
        </w:tc>
        <w:tc>
          <w:tcPr>
            <w:tcW w:w="1396" w:type="dxa"/>
            <w:vAlign w:val="center"/>
          </w:tcPr>
          <w:p>
            <w:pPr>
              <w:pStyle w:val="4"/>
              <w:spacing w:before="0" w:beforeAutospacing="0" w:after="0" w:afterAutospacing="0" w:line="240" w:lineRule="auto"/>
              <w:rPr>
                <w:rFonts w:hint="eastAsia" w:asciiTheme="minorHAnsi" w:hAnsiTheme="minorHAnsi" w:eastAsiaTheme="minorEastAsia" w:cstheme="minorBidi"/>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13"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w:t>
            </w:r>
          </w:p>
        </w:tc>
        <w:tc>
          <w:tcPr>
            <w:tcW w:w="2172"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平衡重式锂电池叉车</w:t>
            </w:r>
          </w:p>
        </w:tc>
        <w:tc>
          <w:tcPr>
            <w:tcW w:w="1634" w:type="dxa"/>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w:t>
            </w:r>
          </w:p>
        </w:tc>
        <w:tc>
          <w:tcPr>
            <w:tcW w:w="149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w:t>
            </w:r>
          </w:p>
        </w:tc>
        <w:tc>
          <w:tcPr>
            <w:tcW w:w="223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芜湖造船厂有限公司</w:t>
            </w:r>
          </w:p>
        </w:tc>
        <w:tc>
          <w:tcPr>
            <w:tcW w:w="1396" w:type="dxa"/>
            <w:vAlign w:val="center"/>
          </w:tcPr>
          <w:p>
            <w:pPr>
              <w:pStyle w:val="4"/>
              <w:spacing w:before="0" w:beforeAutospacing="0" w:after="0" w:afterAutospacing="0" w:line="240" w:lineRule="auto"/>
              <w:rPr>
                <w:rFonts w:hint="eastAsia" w:asciiTheme="minorHAnsi" w:hAnsiTheme="minorHAnsi" w:eastAsiaTheme="minorEastAsia" w:cstheme="minorBidi"/>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519" w:type="dxa"/>
            <w:gridSpan w:val="3"/>
            <w:vAlign w:val="center"/>
          </w:tcPr>
          <w:p>
            <w:pPr>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合计</w:t>
            </w:r>
          </w:p>
        </w:tc>
        <w:tc>
          <w:tcPr>
            <w:tcW w:w="1495" w:type="dxa"/>
            <w:vAlign w:val="center"/>
          </w:tcPr>
          <w:p>
            <w:pPr>
              <w:pStyle w:val="4"/>
              <w:spacing w:before="0" w:beforeAutospacing="0" w:after="0" w:afterAutospacing="0" w:line="240" w:lineRule="auto"/>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w:t>
            </w:r>
          </w:p>
        </w:tc>
        <w:tc>
          <w:tcPr>
            <w:tcW w:w="3631" w:type="dxa"/>
            <w:gridSpan w:val="2"/>
            <w:vAlign w:val="center"/>
          </w:tcPr>
          <w:p>
            <w:pPr>
              <w:pStyle w:val="4"/>
              <w:spacing w:before="0" w:beforeAutospacing="0" w:after="0" w:afterAutospacing="0" w:line="240" w:lineRule="auto"/>
              <w:rPr>
                <w:rFonts w:hint="eastAsia" w:asciiTheme="minorHAnsi" w:hAnsiTheme="minorHAnsi" w:eastAsiaTheme="minorEastAsia" w:cstheme="minorBidi"/>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645" w:type="dxa"/>
            <w:gridSpan w:val="6"/>
            <w:vAlign w:val="center"/>
          </w:tcPr>
          <w:p>
            <w:pPr>
              <w:tabs>
                <w:tab w:val="left" w:pos="5235"/>
              </w:tabs>
              <w:ind w:firstLine="211" w:firstLineChars="100"/>
              <w:rPr>
                <w:rFonts w:hint="eastAsia" w:asciiTheme="minorHAnsi" w:hAnsiTheme="minorHAnsi" w:eastAsiaTheme="minorEastAsia" w:cstheme="minorBidi"/>
                <w:color w:val="000000"/>
                <w:kern w:val="2"/>
                <w:sz w:val="28"/>
                <w:szCs w:val="28"/>
                <w:lang w:val="en-US" w:eastAsia="zh-CN" w:bidi="ar-SA"/>
              </w:rPr>
            </w:pPr>
            <w:r>
              <w:rPr>
                <w:rFonts w:ascii="宋体" w:hAnsi="宋体" w:eastAsia="宋体" w:cs="Arial"/>
                <w:b/>
                <w:sz w:val="21"/>
                <w:szCs w:val="21"/>
              </w:rPr>
              <w:t>所有设备</w:t>
            </w:r>
            <w:r>
              <w:rPr>
                <w:rFonts w:hint="eastAsia" w:ascii="宋体" w:hAnsi="宋体" w:eastAsia="宋体" w:cs="Arial"/>
                <w:b/>
                <w:sz w:val="21"/>
                <w:szCs w:val="21"/>
              </w:rPr>
              <w:t>/电瓶(包含备用电瓶</w:t>
            </w:r>
            <w:r>
              <w:rPr>
                <w:rFonts w:ascii="宋体" w:hAnsi="宋体" w:eastAsia="宋体" w:cs="Arial"/>
                <w:b/>
                <w:sz w:val="21"/>
                <w:szCs w:val="21"/>
              </w:rPr>
              <w:t>)必须</w:t>
            </w:r>
            <w:r>
              <w:rPr>
                <w:rFonts w:hint="eastAsia" w:ascii="宋体" w:hAnsi="宋体" w:eastAsia="宋体" w:cs="Arial"/>
                <w:b/>
                <w:sz w:val="21"/>
                <w:szCs w:val="21"/>
              </w:rPr>
              <w:t>满足正常使用需求，电瓶组待电时间必须满足</w:t>
            </w:r>
            <w:r>
              <w:rPr>
                <w:rFonts w:ascii="宋体" w:hAnsi="宋体" w:eastAsia="宋体" w:cs="Arial"/>
                <w:b/>
                <w:sz w:val="21"/>
                <w:szCs w:val="21"/>
              </w:rPr>
              <w:t>6</w:t>
            </w:r>
            <w:r>
              <w:rPr>
                <w:rFonts w:hint="eastAsia" w:ascii="宋体" w:hAnsi="宋体" w:eastAsia="宋体" w:cs="Arial"/>
                <w:b/>
                <w:sz w:val="21"/>
                <w:szCs w:val="21"/>
              </w:rPr>
              <w:t>小时作业需求</w:t>
            </w:r>
            <w:r>
              <w:rPr>
                <w:rFonts w:hint="eastAsia" w:ascii="宋体" w:hAnsi="宋体" w:eastAsia="宋体" w:cs="Arial"/>
                <w:b/>
                <w:sz w:val="21"/>
                <w:szCs w:val="21"/>
                <w:lang w:eastAsia="zh-CN"/>
              </w:rPr>
              <w:t>，</w:t>
            </w:r>
            <w:r>
              <w:rPr>
                <w:rFonts w:hint="eastAsia" w:ascii="宋体" w:hAnsi="宋体" w:eastAsia="宋体" w:cs="Arial"/>
                <w:b/>
                <w:sz w:val="21"/>
                <w:szCs w:val="21"/>
                <w:lang w:val="en-US" w:eastAsia="zh-CN"/>
              </w:rPr>
              <w:t>作业高度基本型3米，货叉1.52米，全车</w:t>
            </w:r>
            <w:r>
              <w:rPr>
                <w:rFonts w:hint="eastAsia" w:ascii="宋体" w:hAnsi="宋体" w:eastAsia="宋体" w:cs="Arial"/>
                <w:b/>
                <w:sz w:val="21"/>
                <w:szCs w:val="21"/>
                <w:highlight w:val="none"/>
                <w:lang w:val="en-US" w:eastAsia="zh-CN"/>
              </w:rPr>
              <w:t>充气轮胎，智能充电机，整车质保一年，锂电池、电机、控制模块质保5年。</w:t>
            </w:r>
          </w:p>
        </w:tc>
      </w:tr>
    </w:tbl>
    <w:p>
      <w:pPr>
        <w:rPr>
          <w:rFonts w:hint="eastAsia"/>
          <w:b/>
          <w:color w:val="000000"/>
          <w:sz w:val="28"/>
          <w:szCs w:val="28"/>
          <w:lang w:val="en-GB" w:eastAsia="zh-CN"/>
        </w:rPr>
      </w:pPr>
      <w:r>
        <w:rPr>
          <w:rFonts w:hint="eastAsia"/>
          <w:b/>
          <w:color w:val="000000"/>
          <w:sz w:val="28"/>
          <w:szCs w:val="28"/>
          <w:lang w:val="en-GB" w:eastAsia="zh-CN"/>
        </w:rPr>
        <w:t>三、设备技术要求</w:t>
      </w:r>
    </w:p>
    <w:p>
      <w:pPr>
        <w:pStyle w:val="10"/>
        <w:numPr>
          <w:ilvl w:val="0"/>
          <w:numId w:val="0"/>
        </w:numPr>
        <w:tabs>
          <w:tab w:val="left" w:pos="0"/>
          <w:tab w:val="left" w:pos="567"/>
        </w:tabs>
        <w:wordWrap w:val="0"/>
        <w:autoSpaceDE w:val="0"/>
        <w:autoSpaceDN w:val="0"/>
        <w:adjustRightInd w:val="0"/>
        <w:spacing w:line="360" w:lineRule="auto"/>
        <w:ind w:left="273" w:left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 xml:space="preserve">3.1 </w:t>
      </w:r>
      <w:r>
        <w:rPr>
          <w:rFonts w:hint="eastAsia" w:asciiTheme="minorHAnsi" w:hAnsiTheme="minorHAnsi" w:eastAsiaTheme="minorEastAsia" w:cstheme="minorBidi"/>
          <w:color w:val="000000"/>
          <w:kern w:val="2"/>
          <w:sz w:val="28"/>
          <w:szCs w:val="28"/>
          <w:lang w:val="en-US" w:eastAsia="zh-CN" w:bidi="ar-SA"/>
        </w:rPr>
        <w:t xml:space="preserve"> </w:t>
      </w:r>
      <w:r>
        <w:rPr>
          <w:rFonts w:hint="eastAsia" w:asciiTheme="minorHAnsi" w:hAnsiTheme="minorHAnsi" w:eastAsiaTheme="minorEastAsia" w:cstheme="minorBidi"/>
          <w:color w:val="000000"/>
          <w:kern w:val="2"/>
          <w:sz w:val="28"/>
          <w:szCs w:val="28"/>
          <w:lang w:val="en-GB" w:eastAsia="zh-CN" w:bidi="ar-SA"/>
        </w:rPr>
        <w:t>应遵循的主要标准</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 xml:space="preserve">JB/T 2391-2017 500 kg～10000 kg乘驾式平衡重式叉车 </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 xml:space="preserve">GBT 7593-2008 机动工业车辆 </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GB/T 21467-2008 工业车辆在门架前倾的特定条件下堆垛作业附加稳定性试验</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GBT5143-2001 乘驾式高起升车辆护顶架技术要求和试验方法</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GB/T 18849-2011 机动工业车辆制动器性能和零件强度</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GB/T 5141-2005 平衡重式叉车稳定性试验</w:t>
      </w:r>
    </w:p>
    <w:p>
      <w:pPr>
        <w:tabs>
          <w:tab w:val="left" w:pos="0"/>
          <w:tab w:val="left" w:pos="567"/>
        </w:tabs>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GB/T5182-2008 叉车货叉技术要求和试验方法</w:t>
      </w:r>
    </w:p>
    <w:p>
      <w:pPr>
        <w:tabs>
          <w:tab w:val="left" w:pos="0"/>
          <w:tab w:val="left" w:pos="567"/>
        </w:tabs>
        <w:wordWrap w:val="0"/>
        <w:autoSpaceDE w:val="0"/>
        <w:autoSpaceDN w:val="0"/>
        <w:adjustRightInd w:val="0"/>
        <w:spacing w:line="360" w:lineRule="auto"/>
        <w:ind w:firstLine="560" w:firstLineChars="2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GBT 5183-2005 叉车货叉尺寸（满足现场需求）</w:t>
      </w:r>
    </w:p>
    <w:p>
      <w:pPr>
        <w:pStyle w:val="10"/>
        <w:numPr>
          <w:ilvl w:val="0"/>
          <w:numId w:val="0"/>
        </w:numPr>
        <w:tabs>
          <w:tab w:val="left" w:pos="0"/>
          <w:tab w:val="left" w:pos="567"/>
        </w:tabs>
        <w:wordWrap w:val="0"/>
        <w:autoSpaceDE w:val="0"/>
        <w:autoSpaceDN w:val="0"/>
        <w:adjustRightInd w:val="0"/>
        <w:spacing w:line="360" w:lineRule="auto"/>
        <w:ind w:left="273" w:left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US" w:eastAsia="zh-CN" w:bidi="ar-SA"/>
        </w:rPr>
        <w:t xml:space="preserve">3.2  </w:t>
      </w:r>
      <w:r>
        <w:rPr>
          <w:rFonts w:hint="eastAsia" w:asciiTheme="minorHAnsi" w:hAnsiTheme="minorHAnsi" w:eastAsiaTheme="minorEastAsia" w:cstheme="minorBidi"/>
          <w:color w:val="000000"/>
          <w:kern w:val="2"/>
          <w:sz w:val="28"/>
          <w:szCs w:val="28"/>
          <w:lang w:val="en-GB" w:eastAsia="zh-CN" w:bidi="ar-SA"/>
        </w:rPr>
        <w:t>整体性能要求</w:t>
      </w:r>
    </w:p>
    <w:p>
      <w:pPr>
        <w:tabs>
          <w:tab w:val="left" w:pos="284"/>
          <w:tab w:val="left" w:pos="851"/>
        </w:tabs>
        <w:wordWrap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3.2.1设备的设计使用寿命完全满足正常采购时间要求，不包含电池、轮胎、易损件。</w:t>
      </w:r>
    </w:p>
    <w:p>
      <w:pPr>
        <w:pStyle w:val="10"/>
        <w:numPr>
          <w:ilvl w:val="2"/>
          <w:numId w:val="1"/>
        </w:numPr>
        <w:tabs>
          <w:tab w:val="left" w:pos="0"/>
          <w:tab w:val="left" w:pos="567"/>
        </w:tabs>
        <w:wordWrap w:val="0"/>
        <w:autoSpaceDE w:val="0"/>
        <w:autoSpaceDN w:val="0"/>
        <w:adjustRightInd w:val="0"/>
        <w:spacing w:line="360" w:lineRule="auto"/>
        <w:ind w:left="993" w:firstLine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设备质量稳定，整机运行可靠。</w:t>
      </w:r>
    </w:p>
    <w:p>
      <w:pPr>
        <w:pStyle w:val="10"/>
        <w:numPr>
          <w:ilvl w:val="2"/>
          <w:numId w:val="1"/>
        </w:numPr>
        <w:tabs>
          <w:tab w:val="left" w:pos="0"/>
          <w:tab w:val="left" w:pos="567"/>
        </w:tabs>
        <w:wordWrap w:val="0"/>
        <w:autoSpaceDE w:val="0"/>
        <w:autoSpaceDN w:val="0"/>
        <w:adjustRightInd w:val="0"/>
        <w:spacing w:line="360" w:lineRule="auto"/>
        <w:ind w:left="993" w:firstLine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设备的安全保护控制回路的设计原理先进成熟、额定工况下运行可靠。</w:t>
      </w:r>
    </w:p>
    <w:p>
      <w:pPr>
        <w:pStyle w:val="10"/>
        <w:numPr>
          <w:ilvl w:val="2"/>
          <w:numId w:val="1"/>
        </w:numPr>
        <w:tabs>
          <w:tab w:val="left" w:pos="0"/>
          <w:tab w:val="left" w:pos="567"/>
        </w:tabs>
        <w:wordWrap w:val="0"/>
        <w:autoSpaceDE w:val="0"/>
        <w:autoSpaceDN w:val="0"/>
        <w:adjustRightInd w:val="0"/>
        <w:spacing w:line="360" w:lineRule="auto"/>
        <w:ind w:left="993" w:firstLine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设备及其控制系统对环境的要求较低。</w:t>
      </w:r>
    </w:p>
    <w:p>
      <w:pPr>
        <w:pStyle w:val="10"/>
        <w:numPr>
          <w:ilvl w:val="1"/>
          <w:numId w:val="1"/>
        </w:numPr>
        <w:tabs>
          <w:tab w:val="left" w:pos="0"/>
          <w:tab w:val="left" w:pos="567"/>
        </w:tabs>
        <w:wordWrap w:val="0"/>
        <w:autoSpaceDE w:val="0"/>
        <w:autoSpaceDN w:val="0"/>
        <w:adjustRightInd w:val="0"/>
        <w:spacing w:line="360" w:lineRule="auto"/>
        <w:ind w:firstLine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一般要求</w:t>
      </w:r>
    </w:p>
    <w:p>
      <w:pPr>
        <w:tabs>
          <w:tab w:val="left" w:pos="0"/>
          <w:tab w:val="left" w:pos="567"/>
        </w:tabs>
        <w:wordWrap w:val="0"/>
        <w:autoSpaceDE w:val="0"/>
        <w:autoSpaceDN w:val="0"/>
        <w:adjustRightInd w:val="0"/>
        <w:spacing w:line="360" w:lineRule="auto"/>
        <w:ind w:left="24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3.3.1物流搬运设备主要用于物料装卸、堆码及搬运等工作，要求电瓶叉车设备具备高效率、可靠性、安全性和操纵舒适性特点，作业时噪声不得大于70dB(A)，电动叉车带载运行时起升和平移应平稳准确，不产生爬行震动、冲击等现象。</w:t>
      </w:r>
    </w:p>
    <w:p>
      <w:pPr>
        <w:tabs>
          <w:tab w:val="left" w:pos="0"/>
          <w:tab w:val="left" w:pos="567"/>
        </w:tabs>
        <w:wordWrap w:val="0"/>
        <w:autoSpaceDE w:val="0"/>
        <w:autoSpaceDN w:val="0"/>
        <w:adjustRightInd w:val="0"/>
        <w:spacing w:line="360" w:lineRule="auto"/>
        <w:ind w:left="24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3.3.2 主要部件便于拆卸和安装，易于维修保养，电瓶安装拆卸方便，电瓶易卸下充电和在车内充电。</w:t>
      </w:r>
    </w:p>
    <w:p>
      <w:pPr>
        <w:tabs>
          <w:tab w:val="left" w:pos="0"/>
          <w:tab w:val="left" w:pos="567"/>
        </w:tabs>
        <w:wordWrap w:val="0"/>
        <w:autoSpaceDE w:val="0"/>
        <w:autoSpaceDN w:val="0"/>
        <w:adjustRightInd w:val="0"/>
        <w:spacing w:line="360" w:lineRule="auto"/>
        <w:ind w:left="24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3.3.3 照明及指示灯至少包括下列附件：前照灯、方向灯、倒车灯、倒车警示灯、蜂鸣器，所有照明、指示灯位置要设计合理或安装防护装置避免货物落下时砸坏。</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平衡重式电瓶叉车必须包含两侧蓝光、后侧蓝光、声光报警、安全带、座椅联锁。</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电瓶组放电须保证正常工况下叉车可连续工作6小时以上，充满电时间不大于3小时。</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所有平衡重叉车采用垂直更换电池或侧面更换电池方式、前移式叉车、电动牵引车、电动托盘车取卸电瓶均可侧面叉取。</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所有电瓶叉车电动牵引车均需配置倒车蜂鸣器及频闪灯。</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设备需包含充电过载保护、过热保护功能，充电机包含自动断电功能。</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电瓶叉车护顶架：格栅式护顶架可保护司机免受重物下落造成伤害，并保持良好的视野。</w:t>
      </w:r>
    </w:p>
    <w:p>
      <w:pPr>
        <w:pStyle w:val="10"/>
        <w:numPr>
          <w:ilvl w:val="2"/>
          <w:numId w:val="2"/>
        </w:numPr>
        <w:tabs>
          <w:tab w:val="left" w:pos="0"/>
          <w:tab w:val="left" w:pos="567"/>
        </w:tabs>
        <w:wordWrap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所有物流搬运设备总电源应具有钥匙开关装置，防止非司机启动，同时具有紧急断电开关。</w:t>
      </w:r>
    </w:p>
    <w:p>
      <w:pPr>
        <w:pStyle w:val="10"/>
        <w:numPr>
          <w:ilvl w:val="1"/>
          <w:numId w:val="2"/>
        </w:numPr>
        <w:tabs>
          <w:tab w:val="left" w:pos="0"/>
          <w:tab w:val="left" w:pos="567"/>
        </w:tabs>
        <w:wordWrap w:val="0"/>
        <w:overflowPunct w:val="0"/>
        <w:autoSpaceDE w:val="0"/>
        <w:autoSpaceDN w:val="0"/>
        <w:adjustRightInd w:val="0"/>
        <w:spacing w:line="360" w:lineRule="auto"/>
        <w:ind w:left="993" w:firstLineChars="0"/>
        <w:jc w:val="left"/>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材料、工艺要求</w:t>
      </w:r>
    </w:p>
    <w:p>
      <w:pPr>
        <w:tabs>
          <w:tab w:val="left" w:pos="0"/>
          <w:tab w:val="left" w:pos="567"/>
        </w:tabs>
        <w:wordWrap w:val="0"/>
        <w:overflowPunct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3.4.1 所有材料应满足设计载荷的强度和刚度要求并应符合所用的有关标准。车架应具有足够的强度和刚度以抵抗扭转和冲击载荷，车辆四周覆盖外壳必须为金属材料。</w:t>
      </w:r>
    </w:p>
    <w:p>
      <w:pPr>
        <w:tabs>
          <w:tab w:val="left" w:pos="0"/>
          <w:tab w:val="left" w:pos="567"/>
        </w:tabs>
        <w:wordWrap w:val="0"/>
        <w:overflowPunct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3.4.2 所有的钢板应无锈，所有的机械零件应达到性能要求及有关规范所规定的淬硬层深度和硬度的要求。</w:t>
      </w:r>
    </w:p>
    <w:p>
      <w:pPr>
        <w:tabs>
          <w:tab w:val="left" w:pos="0"/>
          <w:tab w:val="left" w:pos="567"/>
        </w:tabs>
        <w:wordWrap w:val="0"/>
        <w:overflowPunct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3.4.3 所有的焊接工艺和焊接质量应符合国家标准要求，选择的焊接材料的抗拉强度均应与主体金属的强度相适应。</w:t>
      </w:r>
    </w:p>
    <w:p>
      <w:pPr>
        <w:tabs>
          <w:tab w:val="left" w:pos="0"/>
          <w:tab w:val="left" w:pos="567"/>
        </w:tabs>
        <w:wordWrap w:val="0"/>
        <w:overflowPunct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3.4.4 采用螺栓联接的钢结构，应准确钻孔，不允许采用冲孔和气割孔。</w:t>
      </w:r>
    </w:p>
    <w:p>
      <w:pPr>
        <w:tabs>
          <w:tab w:val="left" w:pos="0"/>
          <w:tab w:val="left" w:pos="567"/>
        </w:tabs>
        <w:wordWrap w:val="0"/>
        <w:overflowPunct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3.4.5 车架应是用优质钢材制造的全焊接结构。</w:t>
      </w:r>
    </w:p>
    <w:p>
      <w:pPr>
        <w:tabs>
          <w:tab w:val="left" w:pos="0"/>
          <w:tab w:val="left" w:pos="567"/>
        </w:tabs>
        <w:wordWrap w:val="0"/>
        <w:overflowPunct w:val="0"/>
        <w:autoSpaceDE w:val="0"/>
        <w:autoSpaceDN w:val="0"/>
        <w:adjustRightInd w:val="0"/>
        <w:spacing w:line="360" w:lineRule="auto"/>
        <w:ind w:firstLine="280" w:firstLineChars="10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3.4.6 车架应具有足够的强度和钢度以抵抗扭转和冲击载荷。</w:t>
      </w:r>
    </w:p>
    <w:p>
      <w:pPr>
        <w:pStyle w:val="10"/>
        <w:numPr>
          <w:ilvl w:val="2"/>
          <w:numId w:val="3"/>
        </w:numPr>
        <w:tabs>
          <w:tab w:val="left" w:pos="0"/>
          <w:tab w:val="left" w:pos="567"/>
        </w:tabs>
        <w:wordWrap w:val="0"/>
        <w:overflowPunct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车架的设计应考虑各部件检查、维修、更换的方便。</w:t>
      </w:r>
    </w:p>
    <w:p>
      <w:pPr>
        <w:pStyle w:val="10"/>
        <w:numPr>
          <w:ilvl w:val="2"/>
          <w:numId w:val="3"/>
        </w:numPr>
        <w:tabs>
          <w:tab w:val="left" w:pos="0"/>
          <w:tab w:val="left" w:pos="567"/>
        </w:tabs>
        <w:wordWrap w:val="0"/>
        <w:overflowPunct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车架设计应考虑在各种工况下具有良好纵向和横向稳定性。</w:t>
      </w:r>
    </w:p>
    <w:p>
      <w:pPr>
        <w:pStyle w:val="10"/>
        <w:numPr>
          <w:ilvl w:val="2"/>
          <w:numId w:val="3"/>
        </w:numPr>
        <w:tabs>
          <w:tab w:val="left" w:pos="0"/>
          <w:tab w:val="left" w:pos="567"/>
        </w:tabs>
        <w:wordWrap w:val="0"/>
        <w:overflowPunct w:val="0"/>
        <w:autoSpaceDE w:val="0"/>
        <w:autoSpaceDN w:val="0"/>
        <w:adjustRightInd w:val="0"/>
        <w:spacing w:line="360" w:lineRule="auto"/>
        <w:ind w:firstLineChars="0"/>
        <w:textAlignment w:val="baseline"/>
        <w:outlineLvl w:val="1"/>
        <w:rPr>
          <w:rFonts w:hint="eastAsia" w:asciiTheme="minorHAnsi" w:hAnsiTheme="minorHAnsi" w:eastAsiaTheme="minorEastAsia" w:cstheme="minorBidi"/>
          <w:color w:val="000000"/>
          <w:kern w:val="2"/>
          <w:sz w:val="28"/>
          <w:szCs w:val="28"/>
          <w:lang w:val="en-GB" w:eastAsia="zh-CN" w:bidi="ar-SA"/>
        </w:rPr>
      </w:pPr>
      <w:r>
        <w:rPr>
          <w:rFonts w:hint="eastAsia" w:asciiTheme="minorHAnsi" w:hAnsiTheme="minorHAnsi" w:eastAsiaTheme="minorEastAsia" w:cstheme="minorBidi"/>
          <w:color w:val="000000"/>
          <w:kern w:val="2"/>
          <w:sz w:val="28"/>
          <w:szCs w:val="28"/>
          <w:lang w:val="en-GB" w:eastAsia="zh-CN" w:bidi="ar-SA"/>
        </w:rPr>
        <w:t>所采用的油料应适应使用地区的气候环境条件。</w:t>
      </w:r>
    </w:p>
    <w:p>
      <w:pPr>
        <w:keepNext/>
        <w:keepLines/>
        <w:numPr>
          <w:ilvl w:val="0"/>
          <w:numId w:val="0"/>
        </w:numPr>
        <w:tabs>
          <w:tab w:val="left" w:pos="0"/>
          <w:tab w:val="left" w:pos="567"/>
        </w:tabs>
        <w:overflowPunct w:val="0"/>
        <w:autoSpaceDE w:val="0"/>
        <w:autoSpaceDN w:val="0"/>
        <w:adjustRightInd w:val="0"/>
        <w:spacing w:line="360" w:lineRule="auto"/>
        <w:ind w:left="120" w:leftChars="0"/>
        <w:jc w:val="left"/>
        <w:textAlignment w:val="baseline"/>
        <w:outlineLvl w:val="1"/>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xml:space="preserve">3.5  </w:t>
      </w:r>
      <w:r>
        <w:rPr>
          <w:rFonts w:hint="eastAsia" w:asciiTheme="minorHAnsi" w:hAnsiTheme="minorHAnsi" w:eastAsiaTheme="minorEastAsia" w:cstheme="minorBidi"/>
          <w:color w:val="000000"/>
          <w:kern w:val="2"/>
          <w:sz w:val="28"/>
          <w:szCs w:val="28"/>
          <w:lang w:val="en-GB" w:eastAsia="zh-CN" w:bidi="ar-SA"/>
        </w:rPr>
        <w:t>专项技术要求</w:t>
      </w:r>
    </w:p>
    <w:tbl>
      <w:tblPr>
        <w:tblStyle w:val="5"/>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933"/>
        <w:gridCol w:w="1186"/>
        <w:gridCol w:w="2305"/>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151" w:type="dxa"/>
            <w:gridSpan w:val="5"/>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技术及性能参数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名称</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单位</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车型：CPD30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车型：CPD50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额定起重量</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kg</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3000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载荷中心距</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动力方式</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锂电池</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驾驶方式</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乘座式</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乘座式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轴距</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1600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6</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轮胎类型</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充气轮胎</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充气轮胎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10</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轮胎，前</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28*9-15-12PR</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28*12.5-15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11</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轮胎，后</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200/50-10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13</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门架倾角，前/后</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α/β</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6/10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14</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门架回缩时高度</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2070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15</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自由起升高度</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145</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16</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最大起升高度</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3000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18</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护顶架高度</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19</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货叉尺寸</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45*125*1520</w:t>
            </w:r>
          </w:p>
        </w:tc>
        <w:tc>
          <w:tcPr>
            <w:tcW w:w="2223"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50*150*1520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20</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货叉架，DIN标准</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3A</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车体长度（不含货叉）</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2507</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22</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车体宽度</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1225</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23</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转弯半径</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2075</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24</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门架离地间隙</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mm</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130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25</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轴距中心离地间隙</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kg</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140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28</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行驶速度，满/空载</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km/h</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14/15</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30</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爬坡能力（满载）</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15</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31</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最大牵引力（满载）</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N</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17500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33</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总重（包含/不包含蓄电池）</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kg</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4450/4100</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7210/6525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36</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蓄电池电压/容量</w:t>
            </w:r>
          </w:p>
        </w:tc>
        <w:tc>
          <w:tcPr>
            <w:tcW w:w="1186"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V/Ah</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80/404</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38</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驱动电机功率</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kW</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15</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39</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起升电机功率</w:t>
            </w:r>
          </w:p>
        </w:tc>
        <w:tc>
          <w:tcPr>
            <w:tcW w:w="1186"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kW</w:t>
            </w:r>
          </w:p>
        </w:tc>
        <w:tc>
          <w:tcPr>
            <w:tcW w:w="2305"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40</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驱动电机控制方式</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MOS管/交流</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MOS管/交流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41</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起升电机控制方式</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MOS管/交流</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MOS管/交流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42</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行车制动/停车制动</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　</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液力/机械</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液力/机械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43</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液压系统工作压力</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Mpa</w:t>
            </w: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44</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急停按钮开关</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有</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4" w:type="dxa"/>
            <w:tcBorders>
              <w:tl2br w:val="nil"/>
              <w:tr2bl w:val="nil"/>
            </w:tcBorders>
            <w:vAlign w:val="center"/>
          </w:tcPr>
          <w:p>
            <w:pPr>
              <w:widowControl/>
              <w:jc w:val="center"/>
              <w:rPr>
                <w:rFonts w:hint="default" w:asciiTheme="minorHAnsi" w:hAnsiTheme="minorHAnsi" w:eastAsiaTheme="minorEastAsia" w:cstheme="minorBidi"/>
                <w:color w:val="000000"/>
                <w:kern w:val="2"/>
                <w:sz w:val="28"/>
                <w:szCs w:val="28"/>
                <w:lang w:val="en-US" w:eastAsia="zh-CN" w:bidi="ar-SA"/>
              </w:rPr>
            </w:pPr>
            <w:r>
              <w:rPr>
                <w:rFonts w:hint="eastAsia" w:cstheme="minorBidi"/>
                <w:color w:val="000000"/>
                <w:kern w:val="2"/>
                <w:sz w:val="28"/>
                <w:szCs w:val="28"/>
                <w:lang w:val="en-US" w:eastAsia="zh-CN" w:bidi="ar-SA"/>
              </w:rPr>
              <w:t>45</w:t>
            </w:r>
          </w:p>
        </w:tc>
        <w:tc>
          <w:tcPr>
            <w:tcW w:w="293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cstheme="minorBidi"/>
                <w:color w:val="000000"/>
                <w:kern w:val="2"/>
                <w:sz w:val="28"/>
                <w:szCs w:val="28"/>
                <w:lang w:val="en-US" w:eastAsia="zh-CN" w:bidi="ar-SA"/>
              </w:rPr>
              <w:t>驾驶室</w:t>
            </w:r>
          </w:p>
        </w:tc>
        <w:tc>
          <w:tcPr>
            <w:tcW w:w="1186"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p>
        </w:tc>
        <w:tc>
          <w:tcPr>
            <w:tcW w:w="2305"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cstheme="minorBidi"/>
                <w:color w:val="000000"/>
                <w:kern w:val="2"/>
                <w:sz w:val="28"/>
                <w:szCs w:val="28"/>
                <w:lang w:val="en-US" w:eastAsia="zh-CN" w:bidi="ar-SA"/>
              </w:rPr>
              <w:t>有</w:t>
            </w:r>
          </w:p>
        </w:tc>
        <w:tc>
          <w:tcPr>
            <w:tcW w:w="2223" w:type="dxa"/>
            <w:tcBorders>
              <w:tl2br w:val="nil"/>
              <w:tr2bl w:val="nil"/>
            </w:tcBorders>
            <w:vAlign w:val="center"/>
          </w:tcPr>
          <w:p>
            <w:pPr>
              <w:widowControl/>
              <w:jc w:val="center"/>
              <w:rPr>
                <w:rFonts w:hint="eastAsia" w:asciiTheme="minorHAnsi" w:hAnsiTheme="minorHAnsi" w:eastAsiaTheme="minorEastAsia" w:cstheme="minorBidi"/>
                <w:color w:val="000000"/>
                <w:kern w:val="2"/>
                <w:sz w:val="28"/>
                <w:szCs w:val="28"/>
                <w:lang w:val="en-US" w:eastAsia="zh-CN" w:bidi="ar-SA"/>
              </w:rPr>
            </w:pPr>
            <w:r>
              <w:rPr>
                <w:rFonts w:hint="eastAsia" w:cstheme="minorBidi"/>
                <w:color w:val="000000"/>
                <w:kern w:val="2"/>
                <w:sz w:val="28"/>
                <w:szCs w:val="28"/>
                <w:lang w:val="en-US" w:eastAsia="zh-CN" w:bidi="ar-SA"/>
              </w:rPr>
              <w:t>有</w:t>
            </w:r>
          </w:p>
        </w:tc>
      </w:tr>
    </w:tbl>
    <w:p>
      <w:pPr>
        <w:tabs>
          <w:tab w:val="left" w:pos="0"/>
          <w:tab w:val="left" w:pos="567"/>
        </w:tabs>
        <w:wordWrap w:val="0"/>
        <w:autoSpaceDE w:val="0"/>
        <w:autoSpaceDN w:val="0"/>
        <w:adjustRightInd w:val="0"/>
        <w:spacing w:line="360" w:lineRule="auto"/>
        <w:textAlignment w:val="baseline"/>
        <w:outlineLvl w:val="1"/>
        <w:rPr>
          <w:rFonts w:hint="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3.5.1 针对以上配置、性能及技术参数中所指定的品牌、型号根据参乙方经营的品牌不同、配置有出入的情况下，项目后期在设备增补过程中，必须参照或优于以上配置、性能及技术参数，不是闲置翻修的设备，同时必须征的甲方认可</w:t>
      </w:r>
      <w:r>
        <w:rPr>
          <w:rFonts w:hint="eastAsia" w:cstheme="minorBidi"/>
          <w:color w:val="000000"/>
          <w:kern w:val="2"/>
          <w:sz w:val="28"/>
          <w:szCs w:val="28"/>
          <w:lang w:val="en-US" w:eastAsia="zh-CN" w:bidi="ar-SA"/>
        </w:rPr>
        <w:t>。</w:t>
      </w:r>
    </w:p>
    <w:p>
      <w:pPr>
        <w:spacing w:line="360" w:lineRule="auto"/>
        <w:jc w:val="left"/>
        <w:rPr>
          <w:rFonts w:hint="eastAsia" w:ascii="宋体" w:hAnsi="宋体"/>
          <w:b/>
          <w:bCs w:val="0"/>
          <w:sz w:val="30"/>
          <w:szCs w:val="30"/>
          <w:lang w:eastAsia="zh-CN"/>
        </w:rPr>
      </w:pPr>
      <w:r>
        <w:rPr>
          <w:rFonts w:hint="eastAsia" w:ascii="宋体" w:hAnsi="宋体"/>
          <w:b w:val="0"/>
          <w:bCs/>
          <w:sz w:val="30"/>
          <w:szCs w:val="30"/>
          <w:lang w:val="en-US" w:eastAsia="zh-CN"/>
        </w:rPr>
        <w:t>3.5.2</w:t>
      </w:r>
      <w:r>
        <w:rPr>
          <w:rFonts w:hint="eastAsia" w:ascii="宋体" w:hAnsi="宋体"/>
          <w:b w:val="0"/>
          <w:bCs/>
          <w:sz w:val="30"/>
          <w:szCs w:val="30"/>
          <w:lang w:eastAsia="zh-CN"/>
        </w:rPr>
        <w:t>随车配件</w:t>
      </w:r>
    </w:p>
    <w:tbl>
      <w:tblPr>
        <w:tblStyle w:val="5"/>
        <w:tblW w:w="8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74"/>
        <w:gridCol w:w="2558"/>
        <w:gridCol w:w="2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86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随车配件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3T</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控制模块</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升降缸油封</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倾斜缸油封</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仪表盘</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横置缸油封</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升降油管</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4根</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叉车销</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倾斜油管</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4根</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门架轴承</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齿轮泵</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前轮胎螺丝</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后轮胎螺丝</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叉车齿链条</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2根</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多路阀</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前大灯</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4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尾灯</w:t>
            </w:r>
          </w:p>
        </w:tc>
        <w:tc>
          <w:tcPr>
            <w:tcW w:w="25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w:t>
            </w:r>
          </w:p>
        </w:tc>
        <w:tc>
          <w:tcPr>
            <w:tcW w:w="2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w:t>
            </w:r>
          </w:p>
        </w:tc>
      </w:tr>
    </w:tbl>
    <w:p>
      <w:pPr>
        <w:tabs>
          <w:tab w:val="left" w:pos="0"/>
          <w:tab w:val="left" w:pos="567"/>
        </w:tabs>
        <w:wordWrap w:val="0"/>
        <w:autoSpaceDE w:val="0"/>
        <w:autoSpaceDN w:val="0"/>
        <w:adjustRightInd w:val="0"/>
        <w:spacing w:line="360" w:lineRule="auto"/>
        <w:textAlignment w:val="baseline"/>
        <w:outlineLvl w:val="1"/>
        <w:rPr>
          <w:rFonts w:hint="eastAsia" w:cstheme="minorBidi"/>
          <w:color w:val="000000"/>
          <w:kern w:val="2"/>
          <w:sz w:val="28"/>
          <w:szCs w:val="28"/>
          <w:lang w:val="en-US" w:eastAsia="zh-CN" w:bidi="ar-SA"/>
        </w:rPr>
      </w:pPr>
    </w:p>
    <w:p>
      <w:pPr>
        <w:rPr>
          <w:b/>
          <w:color w:val="000000"/>
          <w:sz w:val="28"/>
          <w:szCs w:val="28"/>
        </w:rPr>
      </w:pPr>
      <w:r>
        <w:rPr>
          <w:rFonts w:hint="eastAsia"/>
          <w:b/>
          <w:color w:val="000000"/>
          <w:sz w:val="28"/>
          <w:szCs w:val="28"/>
          <w:lang w:eastAsia="zh-CN"/>
        </w:rPr>
        <w:t>四</w:t>
      </w:r>
      <w:r>
        <w:rPr>
          <w:rFonts w:hint="eastAsia"/>
          <w:b/>
          <w:color w:val="000000"/>
          <w:sz w:val="28"/>
          <w:szCs w:val="28"/>
        </w:rPr>
        <w:t>、供应商资质要求</w:t>
      </w:r>
    </w:p>
    <w:p>
      <w:pPr>
        <w:rPr>
          <w:color w:val="000000"/>
          <w:sz w:val="28"/>
          <w:szCs w:val="28"/>
        </w:rPr>
      </w:pPr>
      <w:r>
        <w:rPr>
          <w:rFonts w:hint="eastAsia"/>
          <w:color w:val="000000"/>
          <w:sz w:val="28"/>
          <w:szCs w:val="28"/>
          <w:lang w:val="en-US" w:eastAsia="zh-CN"/>
        </w:rPr>
        <w:t>4</w:t>
      </w:r>
      <w:r>
        <w:rPr>
          <w:rFonts w:hint="eastAsia"/>
          <w:color w:val="000000"/>
          <w:sz w:val="28"/>
          <w:szCs w:val="28"/>
        </w:rPr>
        <w:t>.1.投标单位必须为具有独立法人资格的企业；</w:t>
      </w:r>
    </w:p>
    <w:p>
      <w:pPr>
        <w:rPr>
          <w:color w:val="000000"/>
          <w:sz w:val="28"/>
          <w:szCs w:val="28"/>
        </w:rPr>
      </w:pPr>
      <w:r>
        <w:rPr>
          <w:rFonts w:hint="eastAsia"/>
          <w:color w:val="000000"/>
          <w:sz w:val="28"/>
          <w:szCs w:val="28"/>
          <w:lang w:val="en-US" w:eastAsia="zh-CN"/>
        </w:rPr>
        <w:t>4</w:t>
      </w:r>
      <w:r>
        <w:rPr>
          <w:rFonts w:hint="eastAsia"/>
          <w:color w:val="000000"/>
          <w:sz w:val="28"/>
          <w:szCs w:val="28"/>
        </w:rPr>
        <w:t>.2.在过去出售的同类型产品中，没有出现投标人负主要责任的技术、质量、商务等纠纷；</w:t>
      </w:r>
    </w:p>
    <w:p>
      <w:pPr>
        <w:rPr>
          <w:rFonts w:hint="eastAsia"/>
          <w:color w:val="000000"/>
          <w:sz w:val="28"/>
          <w:szCs w:val="28"/>
        </w:rPr>
      </w:pPr>
      <w:r>
        <w:rPr>
          <w:rFonts w:hint="eastAsia"/>
          <w:color w:val="000000"/>
          <w:sz w:val="28"/>
          <w:szCs w:val="28"/>
          <w:lang w:val="en-US" w:eastAsia="zh-CN"/>
        </w:rPr>
        <w:t>4</w:t>
      </w:r>
      <w:r>
        <w:rPr>
          <w:rFonts w:hint="eastAsia"/>
          <w:color w:val="000000"/>
          <w:sz w:val="28"/>
          <w:szCs w:val="28"/>
        </w:rPr>
        <w:t>.3.本次采购不接受联合投标，不接受分包转包。法定代表人为同一人的两个（及以上）的投标人不得同时投标；母公司、全资子公司不得同时投标；</w:t>
      </w:r>
    </w:p>
    <w:p>
      <w:pPr>
        <w:pStyle w:val="10"/>
        <w:spacing w:line="360" w:lineRule="auto"/>
        <w:ind w:firstLine="0" w:firstLineChars="0"/>
        <w:rPr>
          <w:rFonts w:ascii="宋体" w:hAnsi="宋体"/>
          <w:color w:val="000000"/>
          <w:sz w:val="24"/>
        </w:rPr>
      </w:pPr>
      <w:r>
        <w:rPr>
          <w:rFonts w:hint="eastAsia"/>
          <w:color w:val="000000"/>
          <w:sz w:val="28"/>
          <w:szCs w:val="28"/>
          <w:lang w:val="en-US" w:eastAsia="zh-CN"/>
        </w:rPr>
        <w:t>4.4可</w:t>
      </w:r>
      <w:r>
        <w:rPr>
          <w:rFonts w:hint="eastAsia" w:asciiTheme="minorHAnsi" w:hAnsiTheme="minorHAnsi" w:eastAsiaTheme="minorEastAsia" w:cstheme="minorBidi"/>
          <w:color w:val="000000"/>
          <w:kern w:val="2"/>
          <w:sz w:val="28"/>
          <w:szCs w:val="28"/>
          <w:lang w:val="en-US" w:eastAsia="zh-CN" w:bidi="ar-SA"/>
        </w:rPr>
        <w:t>提供特种车辆维修许可证、持有国家指定认证部门颁发的有效厂内运行牌照的物流设备。</w:t>
      </w:r>
    </w:p>
    <w:p>
      <w:pPr>
        <w:rPr>
          <w:b/>
          <w:color w:val="000000"/>
          <w:sz w:val="28"/>
          <w:szCs w:val="28"/>
        </w:rPr>
      </w:pPr>
      <w:r>
        <w:rPr>
          <w:rFonts w:hint="eastAsia"/>
          <w:b/>
          <w:color w:val="000000"/>
          <w:sz w:val="28"/>
          <w:szCs w:val="28"/>
          <w:lang w:eastAsia="zh-CN"/>
        </w:rPr>
        <w:t>五</w:t>
      </w:r>
      <w:r>
        <w:rPr>
          <w:rFonts w:hint="eastAsia"/>
          <w:b/>
          <w:color w:val="000000"/>
          <w:sz w:val="28"/>
          <w:szCs w:val="28"/>
        </w:rPr>
        <w:t>、报名要求</w:t>
      </w:r>
    </w:p>
    <w:p>
      <w:pPr>
        <w:rPr>
          <w:color w:val="000000"/>
          <w:sz w:val="28"/>
          <w:szCs w:val="28"/>
        </w:rPr>
      </w:pPr>
      <w:r>
        <w:rPr>
          <w:rFonts w:hint="eastAsia"/>
          <w:color w:val="000000"/>
          <w:sz w:val="28"/>
          <w:szCs w:val="28"/>
          <w:lang w:val="en-US" w:eastAsia="zh-CN"/>
        </w:rPr>
        <w:t>5</w:t>
      </w:r>
      <w:r>
        <w:rPr>
          <w:rFonts w:hint="eastAsia"/>
          <w:color w:val="000000"/>
          <w:sz w:val="28"/>
          <w:szCs w:val="28"/>
        </w:rPr>
        <w:t>.1.报名方式：凡有意参加报名的供应商，请将报名信息发送至公司邮箱（cgb@wuhu.com.cn）及</w:t>
      </w:r>
      <w:r>
        <w:rPr>
          <w:color w:val="000000"/>
          <w:sz w:val="28"/>
          <w:szCs w:val="28"/>
        </w:rPr>
        <w:t>商务人员</w:t>
      </w:r>
      <w:r>
        <w:rPr>
          <w:rFonts w:hint="eastAsia"/>
          <w:color w:val="000000"/>
          <w:sz w:val="28"/>
          <w:szCs w:val="28"/>
        </w:rPr>
        <w:t>处,未按照此方式报名的，视作无效。</w:t>
      </w:r>
    </w:p>
    <w:p>
      <w:pPr>
        <w:rPr>
          <w:color w:val="000000"/>
          <w:sz w:val="28"/>
          <w:szCs w:val="28"/>
        </w:rPr>
      </w:pPr>
      <w:r>
        <w:rPr>
          <w:rFonts w:hint="eastAsia"/>
          <w:color w:val="000000"/>
          <w:sz w:val="28"/>
          <w:szCs w:val="28"/>
          <w:lang w:val="en-US" w:eastAsia="zh-CN"/>
        </w:rPr>
        <w:t>5</w:t>
      </w:r>
      <w:r>
        <w:rPr>
          <w:rFonts w:hint="eastAsia"/>
          <w:color w:val="000000"/>
          <w:sz w:val="28"/>
          <w:szCs w:val="28"/>
        </w:rPr>
        <w:t>.2.报名截止时间：2022年</w:t>
      </w:r>
      <w:r>
        <w:rPr>
          <w:rFonts w:hint="eastAsia"/>
          <w:color w:val="000000"/>
          <w:sz w:val="28"/>
          <w:szCs w:val="28"/>
          <w:lang w:val="en-US" w:eastAsia="zh-CN"/>
        </w:rPr>
        <w:t xml:space="preserve"> 4 </w:t>
      </w:r>
      <w:r>
        <w:rPr>
          <w:rFonts w:hint="eastAsia"/>
          <w:color w:val="000000"/>
          <w:sz w:val="28"/>
          <w:szCs w:val="28"/>
        </w:rPr>
        <w:t>月</w:t>
      </w:r>
      <w:r>
        <w:rPr>
          <w:rFonts w:hint="eastAsia"/>
          <w:color w:val="FF0000"/>
          <w:sz w:val="28"/>
          <w:szCs w:val="28"/>
          <w:lang w:val="en-US" w:eastAsia="zh-CN"/>
        </w:rPr>
        <w:t xml:space="preserve"> 21 </w:t>
      </w:r>
      <w:r>
        <w:rPr>
          <w:rFonts w:hint="eastAsia"/>
          <w:color w:val="000000"/>
          <w:sz w:val="28"/>
          <w:szCs w:val="28"/>
        </w:rPr>
        <w:t>日17:30；报名截止之前可联系技术人员或到现场实地查看。</w:t>
      </w:r>
    </w:p>
    <w:p>
      <w:pPr>
        <w:rPr>
          <w:color w:val="000000"/>
          <w:sz w:val="28"/>
          <w:szCs w:val="28"/>
        </w:rPr>
      </w:pPr>
      <w:r>
        <w:rPr>
          <w:rFonts w:hint="eastAsia"/>
          <w:color w:val="000000"/>
          <w:sz w:val="28"/>
          <w:szCs w:val="28"/>
          <w:lang w:val="en-US" w:eastAsia="zh-CN"/>
        </w:rPr>
        <w:t>5</w:t>
      </w:r>
      <w:r>
        <w:rPr>
          <w:rFonts w:hint="eastAsia"/>
          <w:color w:val="000000"/>
          <w:sz w:val="28"/>
          <w:szCs w:val="28"/>
        </w:rPr>
        <w:t>.2.1.招标时间：预定为202</w:t>
      </w:r>
      <w:r>
        <w:rPr>
          <w:rFonts w:hint="eastAsia"/>
          <w:color w:val="000000"/>
          <w:sz w:val="28"/>
          <w:szCs w:val="28"/>
          <w:lang w:val="en-US" w:eastAsia="zh-CN"/>
        </w:rPr>
        <w:t>2</w:t>
      </w:r>
      <w:r>
        <w:rPr>
          <w:rFonts w:hint="eastAsia"/>
          <w:color w:val="000000"/>
          <w:sz w:val="28"/>
          <w:szCs w:val="28"/>
        </w:rPr>
        <w:t>年</w:t>
      </w:r>
      <w:r>
        <w:rPr>
          <w:rFonts w:hint="eastAsia"/>
          <w:color w:val="000000"/>
          <w:sz w:val="28"/>
          <w:szCs w:val="28"/>
          <w:lang w:val="en-US" w:eastAsia="zh-CN"/>
        </w:rPr>
        <w:t xml:space="preserve"> 4</w:t>
      </w:r>
      <w:r>
        <w:rPr>
          <w:rFonts w:hint="eastAsia"/>
          <w:color w:val="000000"/>
          <w:sz w:val="28"/>
          <w:szCs w:val="28"/>
        </w:rPr>
        <w:t>月</w:t>
      </w:r>
      <w:r>
        <w:rPr>
          <w:rFonts w:hint="eastAsia"/>
          <w:color w:val="000000"/>
          <w:sz w:val="28"/>
          <w:szCs w:val="28"/>
          <w:lang w:val="en-US" w:eastAsia="zh-CN"/>
        </w:rPr>
        <w:t xml:space="preserve"> 22 </w:t>
      </w:r>
      <w:r>
        <w:rPr>
          <w:rFonts w:hint="eastAsia"/>
          <w:color w:val="000000"/>
          <w:sz w:val="28"/>
          <w:szCs w:val="28"/>
        </w:rPr>
        <w:t>日10:00，如有变动另行通知；</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5.2.2.招标地点：安徽省芜湖市弋江区峨溪路1号芜湖造船厂有限公司2号楼122会议室；</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5.3.报名资料请供应商按照所列内容，上传齐全完整的资料原件扫描件，资料不齐全的，我方将视为不合格，本业务应仅由乙方承接，乙方不得进行按业务模块拆分外委应提交的资料包含但不限于以下内容；</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5.3.1.企业工商资料：营业执照（三证合一）；</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5.3.2.投标授权委托书：法定代表人授权委托书及法定代表人身份证复印件、委托人身份证复印件并加盖公章；</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5.3.3.资质证书；</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5.3.4.企业概况及履约能力说明；</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5.3.5.财务报表资料、质量体系证书等。</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（注：报名资料需在报名时间截止前提交，逾期不再接收）</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b/>
          <w:color w:val="000000"/>
          <w:kern w:val="2"/>
          <w:sz w:val="28"/>
          <w:szCs w:val="28"/>
          <w:lang w:val="en-US" w:eastAsia="zh-CN" w:bidi="ar-SA"/>
        </w:rPr>
        <w:t>六、招标资格的获取</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6.1.资格初审：报名截止后，将对所有报名单位进行资格初审，初审合格后缴纳投标保证金；</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6.2.投标保证金需要缴纳10000元。（注：不接受任何私人名义缴纳费用，报名单位缴纳费用时须注明项目名称及缴费供应商名称及‘标书费’字样，并将缴纳回执上传）。</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b/>
          <w:color w:val="000000"/>
          <w:kern w:val="2"/>
          <w:sz w:val="28"/>
          <w:szCs w:val="28"/>
          <w:lang w:val="en-US" w:eastAsia="zh-CN" w:bidi="ar-SA"/>
        </w:rPr>
        <w:t>七、发布的媒介</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本次信息发布只在芜湖造船厂微信公众号上发布，其他媒体转载无效。</w:t>
      </w:r>
    </w:p>
    <w:p>
      <w:pPr>
        <w:pStyle w:val="4"/>
        <w:widowControl/>
        <w:shd w:val="clear" w:color="auto" w:fill="FFFFFF"/>
        <w:spacing w:before="0" w:beforeAutospacing="0" w:after="0" w:afterAutospacing="0"/>
        <w:jc w:val="both"/>
        <w:rPr>
          <w:rFonts w:hint="eastAsia" w:asciiTheme="minorHAnsi" w:hAnsiTheme="minorHAnsi" w:eastAsiaTheme="minorEastAsia" w:cstheme="minorBidi"/>
          <w:b/>
          <w:color w:val="000000"/>
          <w:kern w:val="2"/>
          <w:sz w:val="28"/>
          <w:szCs w:val="28"/>
          <w:lang w:val="en-US" w:eastAsia="zh-CN" w:bidi="ar-SA"/>
        </w:rPr>
      </w:pPr>
      <w:r>
        <w:rPr>
          <w:rFonts w:hint="eastAsia" w:asciiTheme="minorHAnsi" w:hAnsiTheme="minorHAnsi" w:eastAsiaTheme="minorEastAsia" w:cstheme="minorBidi"/>
          <w:b/>
          <w:color w:val="000000"/>
          <w:kern w:val="2"/>
          <w:sz w:val="28"/>
          <w:szCs w:val="28"/>
          <w:lang w:val="en-US" w:eastAsia="zh-CN" w:bidi="ar-SA"/>
        </w:rPr>
        <w:t>八、联系方式</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地址：安徽省芜湖市弋江区峨溪路1号芜湖造船厂有限公司</w:t>
      </w:r>
    </w:p>
    <w:p>
      <w:pPr>
        <w:pStyle w:val="4"/>
        <w:widowControl/>
        <w:shd w:val="clear" w:color="auto" w:fill="FFFFFF"/>
        <w:spacing w:before="0" w:beforeAutospacing="0" w:after="0" w:afterAutospacing="0"/>
        <w:jc w:val="both"/>
        <w:rPr>
          <w:rFonts w:hint="eastAsia"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商务人员：  汪骏   联系电话：18055309222    </w:t>
      </w:r>
    </w:p>
    <w:p>
      <w:pPr>
        <w:pStyle w:val="4"/>
        <w:widowControl/>
        <w:shd w:val="clear" w:color="auto" w:fill="FFFFFF"/>
        <w:spacing w:before="0" w:beforeAutospacing="0" w:after="0" w:afterAutospacing="0"/>
        <w:jc w:val="both"/>
        <w:rPr>
          <w:rFonts w:hint="default" w:asciiTheme="minorHAnsi" w:hAnsiTheme="minorHAnsi" w:eastAsiaTheme="minorEastAsia" w:cstheme="minorBidi"/>
          <w:color w:val="000000"/>
          <w:kern w:val="2"/>
          <w:sz w:val="28"/>
          <w:szCs w:val="28"/>
          <w:lang w:val="en-US" w:eastAsia="zh-CN" w:bidi="ar-SA"/>
        </w:rPr>
      </w:pPr>
      <w:r>
        <w:rPr>
          <w:rFonts w:hint="eastAsia" w:asciiTheme="minorHAnsi" w:hAnsiTheme="minorHAnsi" w:eastAsiaTheme="minorEastAsia" w:cstheme="minorBidi"/>
          <w:color w:val="000000"/>
          <w:kern w:val="2"/>
          <w:sz w:val="28"/>
          <w:szCs w:val="28"/>
          <w:lang w:val="en-US" w:eastAsia="zh-CN" w:bidi="ar-SA"/>
        </w:rPr>
        <w:t>技术联系人：刘刚   联系电话：15395342897</w:t>
      </w:r>
    </w:p>
    <w:p>
      <w:pPr>
        <w:pStyle w:val="4"/>
        <w:widowControl/>
        <w:shd w:val="clear" w:color="auto" w:fill="FFFFFF"/>
        <w:spacing w:before="0" w:beforeAutospacing="0" w:after="0" w:afterAutospacing="0"/>
        <w:ind w:firstLine="3500" w:firstLineChars="1250"/>
        <w:jc w:val="both"/>
        <w:rPr>
          <w:rFonts w:hint="eastAsia" w:asciiTheme="minorHAnsi" w:hAnsiTheme="minorHAnsi" w:eastAsiaTheme="minorEastAsia" w:cstheme="minorBidi"/>
          <w:color w:val="000000"/>
          <w:kern w:val="2"/>
          <w:sz w:val="28"/>
          <w:szCs w:val="28"/>
          <w:lang w:val="en-US" w:eastAsia="zh-CN" w:bidi="ar-SA"/>
        </w:rPr>
      </w:pPr>
      <w:bookmarkStart w:id="0" w:name="_GoBack"/>
      <w:bookmarkEnd w:id="0"/>
    </w:p>
    <w:sectPr>
      <w:pgSz w:w="11906" w:h="16838"/>
      <w:pgMar w:top="1440" w:right="567" w:bottom="1440" w:left="56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A3055"/>
    <w:multiLevelType w:val="multilevel"/>
    <w:tmpl w:val="22EA3055"/>
    <w:lvl w:ilvl="0" w:tentative="0">
      <w:start w:val="3"/>
      <w:numFmt w:val="decimal"/>
      <w:lvlText w:val="%1"/>
      <w:lvlJc w:val="left"/>
      <w:pPr>
        <w:ind w:left="600" w:hanging="600"/>
      </w:pPr>
      <w:rPr>
        <w:rFonts w:hint="default"/>
      </w:rPr>
    </w:lvl>
    <w:lvl w:ilvl="1" w:tentative="0">
      <w:start w:val="4"/>
      <w:numFmt w:val="decimal"/>
      <w:lvlText w:val="%1.%2"/>
      <w:lvlJc w:val="left"/>
      <w:pPr>
        <w:ind w:left="840" w:hanging="720"/>
      </w:pPr>
      <w:rPr>
        <w:rFonts w:hint="default"/>
      </w:rPr>
    </w:lvl>
    <w:lvl w:ilvl="2" w:tentative="0">
      <w:start w:val="7"/>
      <w:numFmt w:val="decimal"/>
      <w:lvlText w:val="%1.%2.%3"/>
      <w:lvlJc w:val="left"/>
      <w:pPr>
        <w:ind w:left="960" w:hanging="720"/>
      </w:pPr>
      <w:rPr>
        <w:rFonts w:hint="default"/>
      </w:rPr>
    </w:lvl>
    <w:lvl w:ilvl="3" w:tentative="0">
      <w:start w:val="1"/>
      <w:numFmt w:val="decimal"/>
      <w:lvlText w:val="%1.%2.%3.%4"/>
      <w:lvlJc w:val="left"/>
      <w:pPr>
        <w:ind w:left="1440" w:hanging="1080"/>
      </w:pPr>
      <w:rPr>
        <w:rFonts w:hint="default"/>
      </w:rPr>
    </w:lvl>
    <w:lvl w:ilvl="4" w:tentative="0">
      <w:start w:val="1"/>
      <w:numFmt w:val="decimal"/>
      <w:lvlText w:val="%1.%2.%3.%4.%5"/>
      <w:lvlJc w:val="left"/>
      <w:pPr>
        <w:ind w:left="1920" w:hanging="1440"/>
      </w:pPr>
      <w:rPr>
        <w:rFonts w:hint="default"/>
      </w:rPr>
    </w:lvl>
    <w:lvl w:ilvl="5" w:tentative="0">
      <w:start w:val="1"/>
      <w:numFmt w:val="decimal"/>
      <w:lvlText w:val="%1.%2.%3.%4.%5.%6"/>
      <w:lvlJc w:val="left"/>
      <w:pPr>
        <w:ind w:left="2040" w:hanging="1440"/>
      </w:pPr>
      <w:rPr>
        <w:rFonts w:hint="default"/>
      </w:rPr>
    </w:lvl>
    <w:lvl w:ilvl="6" w:tentative="0">
      <w:start w:val="1"/>
      <w:numFmt w:val="decimal"/>
      <w:lvlText w:val="%1.%2.%3.%4.%5.%6.%7"/>
      <w:lvlJc w:val="left"/>
      <w:pPr>
        <w:ind w:left="2520" w:hanging="1800"/>
      </w:pPr>
      <w:rPr>
        <w:rFonts w:hint="default"/>
      </w:rPr>
    </w:lvl>
    <w:lvl w:ilvl="7" w:tentative="0">
      <w:start w:val="1"/>
      <w:numFmt w:val="decimal"/>
      <w:lvlText w:val="%1.%2.%3.%4.%5.%6.%7.%8"/>
      <w:lvlJc w:val="left"/>
      <w:pPr>
        <w:ind w:left="3000" w:hanging="2160"/>
      </w:pPr>
      <w:rPr>
        <w:rFonts w:hint="default"/>
      </w:rPr>
    </w:lvl>
    <w:lvl w:ilvl="8" w:tentative="0">
      <w:start w:val="1"/>
      <w:numFmt w:val="decimal"/>
      <w:lvlText w:val="%1.%2.%3.%4.%5.%6.%7.%8.%9"/>
      <w:lvlJc w:val="left"/>
      <w:pPr>
        <w:ind w:left="3120" w:hanging="2160"/>
      </w:pPr>
      <w:rPr>
        <w:rFonts w:hint="default"/>
      </w:rPr>
    </w:lvl>
  </w:abstractNum>
  <w:abstractNum w:abstractNumId="1">
    <w:nsid w:val="2C3D4F25"/>
    <w:multiLevelType w:val="multilevel"/>
    <w:tmpl w:val="2C3D4F25"/>
    <w:lvl w:ilvl="0" w:tentative="0">
      <w:start w:val="3"/>
      <w:numFmt w:val="decimal"/>
      <w:lvlText w:val="%1"/>
      <w:lvlJc w:val="left"/>
      <w:pPr>
        <w:ind w:left="630" w:hanging="630"/>
      </w:pPr>
      <w:rPr>
        <w:rFonts w:hint="default"/>
        <w:b/>
      </w:rPr>
    </w:lvl>
    <w:lvl w:ilvl="1" w:tentative="0">
      <w:start w:val="3"/>
      <w:numFmt w:val="decimal"/>
      <w:lvlText w:val="%1.%2"/>
      <w:lvlJc w:val="left"/>
      <w:pPr>
        <w:ind w:left="840" w:hanging="720"/>
      </w:pPr>
      <w:rPr>
        <w:rFonts w:hint="default"/>
        <w:b/>
      </w:rPr>
    </w:lvl>
    <w:lvl w:ilvl="2" w:tentative="0">
      <w:start w:val="4"/>
      <w:numFmt w:val="decimal"/>
      <w:lvlText w:val="%1.%2.%3"/>
      <w:lvlJc w:val="left"/>
      <w:pPr>
        <w:ind w:left="960" w:hanging="720"/>
      </w:pPr>
      <w:rPr>
        <w:rFonts w:hint="default"/>
        <w:b w:val="0"/>
        <w:bCs/>
      </w:rPr>
    </w:lvl>
    <w:lvl w:ilvl="3" w:tentative="0">
      <w:start w:val="1"/>
      <w:numFmt w:val="decimal"/>
      <w:lvlText w:val="%1.%2.%3.%4"/>
      <w:lvlJc w:val="left"/>
      <w:pPr>
        <w:ind w:left="1440" w:hanging="1080"/>
      </w:pPr>
      <w:rPr>
        <w:rFonts w:hint="default"/>
        <w:b/>
      </w:rPr>
    </w:lvl>
    <w:lvl w:ilvl="4" w:tentative="0">
      <w:start w:val="1"/>
      <w:numFmt w:val="decimal"/>
      <w:lvlText w:val="%1.%2.%3.%4.%5"/>
      <w:lvlJc w:val="left"/>
      <w:pPr>
        <w:ind w:left="1920" w:hanging="1440"/>
      </w:pPr>
      <w:rPr>
        <w:rFonts w:hint="default"/>
        <w:b/>
      </w:rPr>
    </w:lvl>
    <w:lvl w:ilvl="5" w:tentative="0">
      <w:start w:val="1"/>
      <w:numFmt w:val="decimal"/>
      <w:lvlText w:val="%1.%2.%3.%4.%5.%6"/>
      <w:lvlJc w:val="left"/>
      <w:pPr>
        <w:ind w:left="2040" w:hanging="1440"/>
      </w:pPr>
      <w:rPr>
        <w:rFonts w:hint="default"/>
        <w:b/>
      </w:rPr>
    </w:lvl>
    <w:lvl w:ilvl="6" w:tentative="0">
      <w:start w:val="1"/>
      <w:numFmt w:val="decimal"/>
      <w:lvlText w:val="%1.%2.%3.%4.%5.%6.%7"/>
      <w:lvlJc w:val="left"/>
      <w:pPr>
        <w:ind w:left="2520" w:hanging="1800"/>
      </w:pPr>
      <w:rPr>
        <w:rFonts w:hint="default"/>
        <w:b/>
      </w:rPr>
    </w:lvl>
    <w:lvl w:ilvl="7" w:tentative="0">
      <w:start w:val="1"/>
      <w:numFmt w:val="decimal"/>
      <w:lvlText w:val="%1.%2.%3.%4.%5.%6.%7.%8"/>
      <w:lvlJc w:val="left"/>
      <w:pPr>
        <w:ind w:left="3000" w:hanging="2160"/>
      </w:pPr>
      <w:rPr>
        <w:rFonts w:hint="default"/>
        <w:b/>
      </w:rPr>
    </w:lvl>
    <w:lvl w:ilvl="8" w:tentative="0">
      <w:start w:val="1"/>
      <w:numFmt w:val="decimal"/>
      <w:lvlText w:val="%1.%2.%3.%4.%5.%6.%7.%8.%9"/>
      <w:lvlJc w:val="left"/>
      <w:pPr>
        <w:ind w:left="3120" w:hanging="2160"/>
      </w:pPr>
      <w:rPr>
        <w:rFonts w:hint="default"/>
        <w:b/>
      </w:rPr>
    </w:lvl>
  </w:abstractNum>
  <w:abstractNum w:abstractNumId="2">
    <w:nsid w:val="522218B7"/>
    <w:multiLevelType w:val="multilevel"/>
    <w:tmpl w:val="522218B7"/>
    <w:lvl w:ilvl="0" w:tentative="0">
      <w:start w:val="3"/>
      <w:numFmt w:val="decimal"/>
      <w:lvlText w:val="%1"/>
      <w:lvlJc w:val="left"/>
      <w:pPr>
        <w:ind w:left="600" w:hanging="600"/>
      </w:pPr>
      <w:rPr>
        <w:rFonts w:hint="default"/>
      </w:rPr>
    </w:lvl>
    <w:lvl w:ilvl="1" w:tentative="0">
      <w:start w:val="2"/>
      <w:numFmt w:val="decimal"/>
      <w:lvlText w:val="%1.%2"/>
      <w:lvlJc w:val="left"/>
      <w:pPr>
        <w:ind w:left="840" w:hanging="600"/>
      </w:pPr>
      <w:rPr>
        <w:rFonts w:hint="default"/>
      </w:rPr>
    </w:lvl>
    <w:lvl w:ilvl="2" w:tentative="0">
      <w:start w:val="2"/>
      <w:numFmt w:val="decimal"/>
      <w:lvlText w:val="%1.%2.%3"/>
      <w:lvlJc w:val="left"/>
      <w:pPr>
        <w:ind w:left="1200" w:hanging="720"/>
      </w:pPr>
      <w:rPr>
        <w:rFonts w:hint="default"/>
      </w:rPr>
    </w:lvl>
    <w:lvl w:ilvl="3" w:tentative="0">
      <w:start w:val="1"/>
      <w:numFmt w:val="decimal"/>
      <w:lvlText w:val="%1.%2.%3.%4"/>
      <w:lvlJc w:val="left"/>
      <w:pPr>
        <w:ind w:left="1800" w:hanging="1080"/>
      </w:pPr>
      <w:rPr>
        <w:rFonts w:hint="default"/>
      </w:rPr>
    </w:lvl>
    <w:lvl w:ilvl="4" w:tentative="0">
      <w:start w:val="1"/>
      <w:numFmt w:val="decimal"/>
      <w:lvlText w:val="%1.%2.%3.%4.%5"/>
      <w:lvlJc w:val="left"/>
      <w:pPr>
        <w:ind w:left="2040" w:hanging="1080"/>
      </w:pPr>
      <w:rPr>
        <w:rFonts w:hint="default"/>
      </w:rPr>
    </w:lvl>
    <w:lvl w:ilvl="5" w:tentative="0">
      <w:start w:val="1"/>
      <w:numFmt w:val="decimal"/>
      <w:lvlText w:val="%1.%2.%3.%4.%5.%6"/>
      <w:lvlJc w:val="left"/>
      <w:pPr>
        <w:ind w:left="2640" w:hanging="1440"/>
      </w:pPr>
      <w:rPr>
        <w:rFonts w:hint="default"/>
      </w:rPr>
    </w:lvl>
    <w:lvl w:ilvl="6" w:tentative="0">
      <w:start w:val="1"/>
      <w:numFmt w:val="decimal"/>
      <w:lvlText w:val="%1.%2.%3.%4.%5.%6.%7"/>
      <w:lvlJc w:val="left"/>
      <w:pPr>
        <w:ind w:left="3240" w:hanging="1800"/>
      </w:pPr>
      <w:rPr>
        <w:rFonts w:hint="default"/>
      </w:rPr>
    </w:lvl>
    <w:lvl w:ilvl="7" w:tentative="0">
      <w:start w:val="1"/>
      <w:numFmt w:val="decimal"/>
      <w:lvlText w:val="%1.%2.%3.%4.%5.%6.%7.%8"/>
      <w:lvlJc w:val="left"/>
      <w:pPr>
        <w:ind w:left="3480" w:hanging="1800"/>
      </w:pPr>
      <w:rPr>
        <w:rFonts w:hint="default"/>
      </w:rPr>
    </w:lvl>
    <w:lvl w:ilvl="8" w:tentative="0">
      <w:start w:val="1"/>
      <w:numFmt w:val="decimal"/>
      <w:lvlText w:val="%1.%2.%3.%4.%5.%6.%7.%8.%9"/>
      <w:lvlJc w:val="left"/>
      <w:pPr>
        <w:ind w:left="40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5A36"/>
    <w:rsid w:val="0006755C"/>
    <w:rsid w:val="000A4D01"/>
    <w:rsid w:val="00136C7F"/>
    <w:rsid w:val="001F53B7"/>
    <w:rsid w:val="002C28AF"/>
    <w:rsid w:val="002D22FF"/>
    <w:rsid w:val="003930B6"/>
    <w:rsid w:val="004972D7"/>
    <w:rsid w:val="00537C19"/>
    <w:rsid w:val="00561BB6"/>
    <w:rsid w:val="00575A36"/>
    <w:rsid w:val="00597D0F"/>
    <w:rsid w:val="005E5CC3"/>
    <w:rsid w:val="005F04F4"/>
    <w:rsid w:val="00602174"/>
    <w:rsid w:val="00605B27"/>
    <w:rsid w:val="00614302"/>
    <w:rsid w:val="00666D62"/>
    <w:rsid w:val="00676030"/>
    <w:rsid w:val="00791C64"/>
    <w:rsid w:val="007D3E70"/>
    <w:rsid w:val="00895393"/>
    <w:rsid w:val="008C5BCD"/>
    <w:rsid w:val="009657F4"/>
    <w:rsid w:val="009C781D"/>
    <w:rsid w:val="00AA592B"/>
    <w:rsid w:val="00AC4ED7"/>
    <w:rsid w:val="00AD4436"/>
    <w:rsid w:val="00AE6510"/>
    <w:rsid w:val="00AF7220"/>
    <w:rsid w:val="00BA7DCE"/>
    <w:rsid w:val="00C1209F"/>
    <w:rsid w:val="00DD0D03"/>
    <w:rsid w:val="00DD2D55"/>
    <w:rsid w:val="00DE0850"/>
    <w:rsid w:val="00E97296"/>
    <w:rsid w:val="00EE10C4"/>
    <w:rsid w:val="00EF4977"/>
    <w:rsid w:val="00EF604E"/>
    <w:rsid w:val="00F159A0"/>
    <w:rsid w:val="00FA5E82"/>
    <w:rsid w:val="00FB1EDF"/>
    <w:rsid w:val="062A2D13"/>
    <w:rsid w:val="09D40FB2"/>
    <w:rsid w:val="2B312C21"/>
    <w:rsid w:val="38932DF5"/>
    <w:rsid w:val="3C6A281D"/>
    <w:rsid w:val="4726338F"/>
    <w:rsid w:val="4BB33879"/>
    <w:rsid w:val="4DF06800"/>
    <w:rsid w:val="55710723"/>
    <w:rsid w:val="73CB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2670</Words>
  <Characters>3206</Characters>
  <Lines>14</Lines>
  <Paragraphs>4</Paragraphs>
  <TotalTime>4</TotalTime>
  <ScaleCrop>false</ScaleCrop>
  <LinksUpToDate>false</LinksUpToDate>
  <CharactersWithSpaces>3267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2022-02-14T08:06:00Z</dcterms:created>
  <dc:creator>admin</dc:creator>
  <cp:lastModifiedBy>Administrator</cp:lastModifiedBy>
  <dcterms:modified xsi:type="dcterms:W3CDTF">2022-04-14T05:52:36Z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B1BCE9F98DE4448193B6351842A30EFC</vt:lpwstr>
  </property>
</Properties>
</file>